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ECB" w:rsidRDefault="00712ECB" w:rsidP="00712ECB">
      <w:pPr>
        <w:spacing w:line="480" w:lineRule="auto"/>
        <w:jc w:val="both"/>
        <w:rPr>
          <w:rFonts w:ascii="Times New Roman" w:hAnsi="Times New Roman" w:cs="Times New Roman"/>
          <w:sz w:val="24"/>
        </w:rPr>
      </w:pPr>
    </w:p>
    <w:p w:rsidR="00712ECB" w:rsidRDefault="00712ECB" w:rsidP="00712ECB">
      <w:pPr>
        <w:spacing w:line="480" w:lineRule="auto"/>
        <w:jc w:val="both"/>
        <w:rPr>
          <w:rFonts w:ascii="Times New Roman" w:hAnsi="Times New Roman" w:cs="Times New Roman"/>
          <w:sz w:val="24"/>
        </w:rPr>
      </w:pPr>
    </w:p>
    <w:p w:rsidR="00712ECB" w:rsidRDefault="00712ECB" w:rsidP="00712ECB">
      <w:pPr>
        <w:spacing w:line="480" w:lineRule="auto"/>
        <w:jc w:val="both"/>
        <w:rPr>
          <w:rFonts w:ascii="Times New Roman" w:hAnsi="Times New Roman" w:cs="Times New Roman"/>
          <w:sz w:val="24"/>
        </w:rPr>
      </w:pPr>
    </w:p>
    <w:p w:rsidR="00712ECB" w:rsidRDefault="00712ECB" w:rsidP="00712ECB">
      <w:pPr>
        <w:spacing w:line="480" w:lineRule="auto"/>
        <w:jc w:val="both"/>
        <w:rPr>
          <w:rFonts w:ascii="Times New Roman" w:hAnsi="Times New Roman" w:cs="Times New Roman"/>
          <w:sz w:val="24"/>
        </w:rPr>
      </w:pPr>
    </w:p>
    <w:p w:rsidR="00712ECB" w:rsidRDefault="00346BA7" w:rsidP="00712ECB">
      <w:pPr>
        <w:spacing w:line="480" w:lineRule="auto"/>
        <w:jc w:val="center"/>
        <w:rPr>
          <w:rFonts w:ascii="Times New Roman" w:hAnsi="Times New Roman" w:cs="Times New Roman"/>
          <w:sz w:val="24"/>
        </w:rPr>
      </w:pPr>
      <w:r>
        <w:rPr>
          <w:rFonts w:ascii="Times New Roman" w:hAnsi="Times New Roman" w:cs="Times New Roman"/>
          <w:sz w:val="24"/>
        </w:rPr>
        <w:t>Capital Budgeting Techniques</w:t>
      </w:r>
    </w:p>
    <w:p w:rsidR="00712ECB" w:rsidRDefault="00712ECB" w:rsidP="00712ECB">
      <w:pPr>
        <w:spacing w:line="480" w:lineRule="auto"/>
        <w:jc w:val="center"/>
        <w:rPr>
          <w:rFonts w:ascii="Times New Roman" w:hAnsi="Times New Roman" w:cs="Times New Roman"/>
          <w:sz w:val="24"/>
        </w:rPr>
      </w:pPr>
      <w:r>
        <w:rPr>
          <w:rFonts w:ascii="Times New Roman" w:hAnsi="Times New Roman" w:cs="Times New Roman"/>
          <w:sz w:val="24"/>
        </w:rPr>
        <w:t>Institution</w:t>
      </w:r>
    </w:p>
    <w:p w:rsidR="00712ECB" w:rsidRDefault="00712ECB" w:rsidP="00712ECB">
      <w:pPr>
        <w:spacing w:line="480" w:lineRule="auto"/>
        <w:jc w:val="center"/>
        <w:rPr>
          <w:rFonts w:ascii="Times New Roman" w:hAnsi="Times New Roman" w:cs="Times New Roman"/>
          <w:sz w:val="24"/>
        </w:rPr>
      </w:pPr>
      <w:r>
        <w:rPr>
          <w:rFonts w:ascii="Times New Roman" w:hAnsi="Times New Roman" w:cs="Times New Roman"/>
          <w:sz w:val="24"/>
        </w:rPr>
        <w:t>Name</w:t>
      </w:r>
    </w:p>
    <w:p w:rsidR="00712ECB" w:rsidRDefault="00712ECB" w:rsidP="00712ECB">
      <w:pPr>
        <w:spacing w:line="480" w:lineRule="auto"/>
        <w:jc w:val="center"/>
        <w:rPr>
          <w:rFonts w:ascii="Times New Roman" w:hAnsi="Times New Roman" w:cs="Times New Roman"/>
          <w:sz w:val="24"/>
        </w:rPr>
      </w:pPr>
      <w:r>
        <w:rPr>
          <w:rFonts w:ascii="Times New Roman" w:hAnsi="Times New Roman" w:cs="Times New Roman"/>
          <w:sz w:val="24"/>
        </w:rPr>
        <w:t>Course</w:t>
      </w: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center"/>
        <w:rPr>
          <w:rFonts w:ascii="Times New Roman" w:hAnsi="Times New Roman" w:cs="Times New Roman"/>
          <w:sz w:val="24"/>
        </w:rPr>
      </w:pPr>
    </w:p>
    <w:p w:rsidR="00712ECB" w:rsidRDefault="00712ECB" w:rsidP="00712ECB">
      <w:pPr>
        <w:spacing w:line="480" w:lineRule="auto"/>
        <w:jc w:val="both"/>
        <w:rPr>
          <w:rFonts w:ascii="Times New Roman" w:hAnsi="Times New Roman" w:cs="Times New Roman"/>
          <w:sz w:val="24"/>
        </w:rPr>
      </w:pPr>
    </w:p>
    <w:p w:rsidR="00D96785" w:rsidRPr="00D96785" w:rsidRDefault="00D96785" w:rsidP="003C3FE0">
      <w:pPr>
        <w:spacing w:line="480" w:lineRule="auto"/>
        <w:jc w:val="both"/>
        <w:rPr>
          <w:rFonts w:ascii="Times New Roman" w:hAnsi="Times New Roman" w:cs="Times New Roman"/>
          <w:sz w:val="24"/>
        </w:rPr>
      </w:pPr>
      <w:r w:rsidRPr="00D96785">
        <w:rPr>
          <w:rFonts w:ascii="Times New Roman" w:hAnsi="Times New Roman" w:cs="Times New Roman"/>
          <w:sz w:val="24"/>
        </w:rPr>
        <w:lastRenderedPageBreak/>
        <w:t>What are some of the ways we can evaluate capital budgeting projects?</w:t>
      </w:r>
    </w:p>
    <w:p w:rsidR="00D96785" w:rsidRPr="00D96785" w:rsidRDefault="00D96785" w:rsidP="003C3FE0">
      <w:pPr>
        <w:spacing w:line="480" w:lineRule="auto"/>
        <w:jc w:val="both"/>
        <w:rPr>
          <w:rFonts w:ascii="Times New Roman" w:hAnsi="Times New Roman" w:cs="Times New Roman"/>
          <w:sz w:val="24"/>
        </w:rPr>
      </w:pPr>
      <w:r w:rsidRPr="00D96785">
        <w:rPr>
          <w:rFonts w:ascii="Times New Roman" w:hAnsi="Times New Roman" w:cs="Times New Roman"/>
          <w:sz w:val="24"/>
        </w:rPr>
        <w:t>There are some different ways through which we can evaluate capital budgeting projects such as the internal rate of return (IRR), and net present value (NPV). It has been proved that the two methods evaluate projects often giving similar results. However, there are some projects where IRR is not as effective as NPV in discounting the cash flows. IRR's major disadvantage is also its greatest strength; it makes use of a single discounting rate in evaluating all investments. If an analyst is evaluating two or more projects which have a similar discount rate, equal risk, predictable cash flows, and a shorter time frame, then IRR will in most cases work. The issue is that the discount rates keep on changing over time (Kaya, 2016). IRR does not account for changing discount rates, and thus it is not just adequate for the long-term investments. NPV takes care of time and thus it is fit for both short-term and long-term investments even with changing discount rates.</w:t>
      </w:r>
    </w:p>
    <w:p w:rsidR="00D96785" w:rsidRPr="00D96785" w:rsidRDefault="00D96785" w:rsidP="003C3FE0">
      <w:pPr>
        <w:spacing w:line="480" w:lineRule="auto"/>
        <w:jc w:val="both"/>
        <w:rPr>
          <w:rFonts w:ascii="Times New Roman" w:hAnsi="Times New Roman" w:cs="Times New Roman"/>
          <w:sz w:val="24"/>
        </w:rPr>
      </w:pPr>
      <w:r w:rsidRPr="00D96785">
        <w:rPr>
          <w:rFonts w:ascii="Times New Roman" w:hAnsi="Times New Roman" w:cs="Times New Roman"/>
          <w:sz w:val="24"/>
        </w:rPr>
        <w:t>Questions</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The project that looks better after some calculations are projected 1 because it is showing higher cash flows.</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IRR is not an acceptable method to compare two mutually exclusive projects since it does not accommodate changing discounts rates and also it is ineffective for a project that is involving both positive and negative cash flows.</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NPV is an acceptable method for comparing two mutually exclusive projects since it takes care of changing discount rates without any problems. Each cash flow from the different trading period or month can be discounted separately from the rest, hence, making NPV be a better method.</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lastRenderedPageBreak/>
        <w:t>He said he was going to look at the NPV because he had forgotten some of the concepts which were important to cross check without making a decision which of the two mutually exclusive projects was to be pursued by the company. He finds out that where NPV crosses the X-axis is the IRR of the project.</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 xml:space="preserve">Only NPV method is effective in a situation having two mutually exclusive projects since the company only needed to pick only one. It is only NPV that could take care of the changing discounts rate which occurs in the economy or the investments. I would choose NPV so that I can take care of the changing discount rate.  In my opinion project two is better since its cash flows will keep on fluctuating and at the same time, the company will make profits compared to project one where the cash flows will keep on decreasing. </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IRR does not choose the same investment by based on whether the cost of capital is lower or higher. It chooses the project whose IRR is greater than the minimum required the cost of capital.</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NPV does not choose the same project because of having a high or a low cost of capital. It picks the project with the greatest NPV.</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NPV profile is a graph which shows the investment's NPV against the different discount rates, with the NPV appearing on the y-axis while the cost of capital appears on the x-axis.</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Following the NPV profiles of the two investments, the two are equivalent at the internal rate of return, the point where the NPV cuts the x-axis.</w:t>
      </w:r>
    </w:p>
    <w:p w:rsidR="00D96785" w:rsidRPr="000A4F2C"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Project 1 (7.2% to 11.8%), project 2 (7.2% to 14.5%).</w:t>
      </w:r>
    </w:p>
    <w:p w:rsidR="00D96785" w:rsidRDefault="00D96785" w:rsidP="000A4F2C">
      <w:pPr>
        <w:pStyle w:val="ListParagraph"/>
        <w:numPr>
          <w:ilvl w:val="0"/>
          <w:numId w:val="3"/>
        </w:numPr>
        <w:spacing w:line="480" w:lineRule="auto"/>
        <w:jc w:val="both"/>
        <w:rPr>
          <w:rFonts w:ascii="Times New Roman" w:hAnsi="Times New Roman" w:cs="Times New Roman"/>
          <w:sz w:val="24"/>
        </w:rPr>
      </w:pPr>
      <w:r w:rsidRPr="000A4F2C">
        <w:rPr>
          <w:rFonts w:ascii="Times New Roman" w:hAnsi="Times New Roman" w:cs="Times New Roman"/>
          <w:sz w:val="24"/>
        </w:rPr>
        <w:t>We would have accepted all the projects since the cash flows will not be affected by the acceptance of the other.</w:t>
      </w:r>
    </w:p>
    <w:p w:rsidR="00EC10BC" w:rsidRPr="000A4F2C" w:rsidRDefault="00EC10BC" w:rsidP="00EC10BC">
      <w:pPr>
        <w:pStyle w:val="ListParagraph"/>
        <w:spacing w:line="480" w:lineRule="auto"/>
        <w:jc w:val="both"/>
        <w:rPr>
          <w:rFonts w:ascii="Times New Roman" w:hAnsi="Times New Roman" w:cs="Times New Roman"/>
          <w:sz w:val="24"/>
        </w:rPr>
      </w:pPr>
      <w:bookmarkStart w:id="0" w:name="_GoBack"/>
      <w:bookmarkEnd w:id="0"/>
    </w:p>
    <w:p w:rsidR="002636FE" w:rsidRDefault="002636FE" w:rsidP="00D96785">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92476E" w:rsidRPr="00FF12D8" w:rsidRDefault="0092476E" w:rsidP="00FF12D8">
      <w:pPr>
        <w:pStyle w:val="Bibliography"/>
        <w:spacing w:line="480" w:lineRule="auto"/>
        <w:ind w:left="720" w:hanging="720"/>
        <w:rPr>
          <w:rFonts w:ascii="Times New Roman" w:hAnsi="Times New Roman" w:cs="Times New Roman"/>
          <w:noProof/>
          <w:sz w:val="24"/>
          <w:szCs w:val="24"/>
        </w:rPr>
      </w:pPr>
      <w:r w:rsidRPr="00FF12D8">
        <w:rPr>
          <w:rFonts w:ascii="Times New Roman" w:hAnsi="Times New Roman" w:cs="Times New Roman"/>
          <w:sz w:val="24"/>
          <w:szCs w:val="24"/>
        </w:rPr>
        <w:fldChar w:fldCharType="begin"/>
      </w:r>
      <w:r w:rsidRPr="00FF12D8">
        <w:rPr>
          <w:rFonts w:ascii="Times New Roman" w:hAnsi="Times New Roman" w:cs="Times New Roman"/>
          <w:sz w:val="24"/>
          <w:szCs w:val="24"/>
        </w:rPr>
        <w:instrText xml:space="preserve"> BIBLIOGRAPHY  \l 1033 </w:instrText>
      </w:r>
      <w:r w:rsidRPr="00FF12D8">
        <w:rPr>
          <w:rFonts w:ascii="Times New Roman" w:hAnsi="Times New Roman" w:cs="Times New Roman"/>
          <w:sz w:val="24"/>
          <w:szCs w:val="24"/>
        </w:rPr>
        <w:fldChar w:fldCharType="separate"/>
      </w:r>
      <w:r w:rsidRPr="00FF12D8">
        <w:rPr>
          <w:rFonts w:ascii="Times New Roman" w:hAnsi="Times New Roman" w:cs="Times New Roman"/>
          <w:noProof/>
          <w:sz w:val="24"/>
          <w:szCs w:val="24"/>
        </w:rPr>
        <w:t xml:space="preserve">Kaya, H. D. (2016). Evaluating Mutually Exclusive Projects with Capital Budgeting Techniques. </w:t>
      </w:r>
      <w:r w:rsidRPr="00FF12D8">
        <w:rPr>
          <w:rFonts w:ascii="Times New Roman" w:hAnsi="Times New Roman" w:cs="Times New Roman"/>
          <w:i/>
          <w:iCs/>
          <w:noProof/>
          <w:sz w:val="24"/>
          <w:szCs w:val="24"/>
        </w:rPr>
        <w:t>International Research Journal of Applied Finance</w:t>
      </w:r>
      <w:r w:rsidRPr="00FF12D8">
        <w:rPr>
          <w:rFonts w:ascii="Times New Roman" w:hAnsi="Times New Roman" w:cs="Times New Roman"/>
          <w:noProof/>
          <w:sz w:val="24"/>
          <w:szCs w:val="24"/>
        </w:rPr>
        <w:t>.</w:t>
      </w:r>
    </w:p>
    <w:p w:rsidR="002636FE" w:rsidRPr="002636FE" w:rsidRDefault="0092476E" w:rsidP="00FF12D8">
      <w:pPr>
        <w:spacing w:line="480" w:lineRule="auto"/>
        <w:jc w:val="both"/>
        <w:rPr>
          <w:rFonts w:ascii="Times New Roman" w:hAnsi="Times New Roman" w:cs="Times New Roman"/>
          <w:sz w:val="24"/>
        </w:rPr>
      </w:pPr>
      <w:r w:rsidRPr="00FF12D8">
        <w:rPr>
          <w:rFonts w:ascii="Times New Roman" w:hAnsi="Times New Roman" w:cs="Times New Roman"/>
          <w:sz w:val="24"/>
          <w:szCs w:val="24"/>
        </w:rPr>
        <w:fldChar w:fldCharType="end"/>
      </w:r>
    </w:p>
    <w:p w:rsidR="00721A13" w:rsidRPr="00590341" w:rsidRDefault="00721A13" w:rsidP="00590341">
      <w:pPr>
        <w:spacing w:line="480" w:lineRule="auto"/>
        <w:jc w:val="both"/>
        <w:rPr>
          <w:rFonts w:ascii="Times New Roman" w:hAnsi="Times New Roman" w:cs="Times New Roman"/>
          <w:sz w:val="24"/>
        </w:rPr>
      </w:pPr>
    </w:p>
    <w:sectPr w:rsidR="00721A13" w:rsidRPr="005903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115" w:rsidRDefault="00F77115" w:rsidP="00712ECB">
      <w:pPr>
        <w:spacing w:after="0" w:line="240" w:lineRule="auto"/>
      </w:pPr>
      <w:r>
        <w:separator/>
      </w:r>
    </w:p>
  </w:endnote>
  <w:endnote w:type="continuationSeparator" w:id="0">
    <w:p w:rsidR="00F77115" w:rsidRDefault="00F77115" w:rsidP="00712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115" w:rsidRDefault="00F77115" w:rsidP="00712ECB">
      <w:pPr>
        <w:spacing w:after="0" w:line="240" w:lineRule="auto"/>
      </w:pPr>
      <w:r>
        <w:separator/>
      </w:r>
    </w:p>
  </w:footnote>
  <w:footnote w:type="continuationSeparator" w:id="0">
    <w:p w:rsidR="00F77115" w:rsidRDefault="00F77115" w:rsidP="00712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728" w:rsidRDefault="00690E0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CAPITAL BUDGETING TECHNIQUES</w:t>
    </w:r>
    <w:r w:rsidR="00F77115">
      <w:rPr>
        <w:rFonts w:ascii="Times New Roman" w:hAnsi="Times New Roman" w:cs="Times New Roman"/>
        <w:sz w:val="24"/>
        <w:szCs w:val="24"/>
      </w:rPr>
      <w:tab/>
    </w:r>
    <w:r w:rsidR="00F77115">
      <w:rPr>
        <w:rFonts w:ascii="Times New Roman" w:hAnsi="Times New Roman" w:cs="Times New Roman"/>
        <w:sz w:val="24"/>
        <w:szCs w:val="24"/>
      </w:rPr>
      <w:tab/>
    </w:r>
    <w:r w:rsidR="00F77115">
      <w:rPr>
        <w:rFonts w:ascii="Times New Roman" w:hAnsi="Times New Roman" w:cs="Times New Roman"/>
        <w:sz w:val="24"/>
        <w:szCs w:val="24"/>
      </w:rPr>
      <w:fldChar w:fldCharType="begin"/>
    </w:r>
    <w:r w:rsidR="00F77115">
      <w:rPr>
        <w:rFonts w:ascii="Times New Roman" w:hAnsi="Times New Roman" w:cs="Times New Roman"/>
        <w:sz w:val="24"/>
        <w:szCs w:val="24"/>
      </w:rPr>
      <w:instrText xml:space="preserve"> PAGE   \* MERGEFORMAT </w:instrText>
    </w:r>
    <w:r w:rsidR="00F77115">
      <w:rPr>
        <w:rFonts w:ascii="Times New Roman" w:hAnsi="Times New Roman" w:cs="Times New Roman"/>
        <w:sz w:val="24"/>
        <w:szCs w:val="24"/>
      </w:rPr>
      <w:fldChar w:fldCharType="separate"/>
    </w:r>
    <w:r w:rsidR="00EC10BC">
      <w:rPr>
        <w:rFonts w:ascii="Times New Roman" w:hAnsi="Times New Roman" w:cs="Times New Roman"/>
        <w:noProof/>
        <w:sz w:val="24"/>
        <w:szCs w:val="24"/>
      </w:rPr>
      <w:t>4</w:t>
    </w:r>
    <w:r w:rsidR="00F77115">
      <w:rPr>
        <w:rFonts w:ascii="Times New Roman" w:hAnsi="Times New Roman" w:cs="Times New Roman"/>
        <w:noProof/>
        <w:sz w:val="24"/>
        <w:szCs w:val="24"/>
      </w:rPr>
      <w:fldChar w:fldCharType="end"/>
    </w:r>
  </w:p>
  <w:p w:rsidR="00F53728" w:rsidRDefault="00F771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728" w:rsidRDefault="00F77115">
    <w:pPr>
      <w:pStyle w:val="Header"/>
      <w:spacing w:line="480" w:lineRule="auto"/>
      <w:jc w:val="right"/>
      <w:rPr>
        <w:rFonts w:ascii="Times New Roman" w:hAnsi="Times New Roman" w:cs="Times New Roman"/>
        <w:sz w:val="24"/>
      </w:rPr>
    </w:pPr>
    <w:r>
      <w:rPr>
        <w:rFonts w:ascii="Times New Roman" w:hAnsi="Times New Roman" w:cs="Times New Roman"/>
        <w:sz w:val="24"/>
      </w:rPr>
      <w:t>Ru</w:t>
    </w:r>
    <w:r w:rsidR="00712ECB">
      <w:rPr>
        <w:rFonts w:ascii="Times New Roman" w:hAnsi="Times New Roman" w:cs="Times New Roman"/>
        <w:sz w:val="24"/>
      </w:rPr>
      <w:t>nning Head: CAPITAL BUDGETING TECHNIQUES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3C3FE0">
      <w:rPr>
        <w:rFonts w:ascii="Times New Roman" w:hAnsi="Times New Roman" w:cs="Times New Roman"/>
        <w:noProof/>
        <w:sz w:val="24"/>
      </w:rPr>
      <w:t>1</w:t>
    </w:r>
    <w:r>
      <w:rPr>
        <w:rFonts w:ascii="Times New Roman" w:hAnsi="Times New Roman" w:cs="Times New Roman"/>
        <w:noProof/>
        <w:sz w:val="24"/>
      </w:rPr>
      <w:fldChar w:fldCharType="end"/>
    </w:r>
  </w:p>
  <w:p w:rsidR="00F53728" w:rsidRDefault="00F771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7689D"/>
    <w:multiLevelType w:val="hybridMultilevel"/>
    <w:tmpl w:val="2ABE1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34370B"/>
    <w:multiLevelType w:val="hybridMultilevel"/>
    <w:tmpl w:val="A496B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E844ED"/>
    <w:multiLevelType w:val="hybridMultilevel"/>
    <w:tmpl w:val="A496B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13"/>
    <w:rsid w:val="000A4F2C"/>
    <w:rsid w:val="001E31D3"/>
    <w:rsid w:val="00204238"/>
    <w:rsid w:val="002636FE"/>
    <w:rsid w:val="00346BA7"/>
    <w:rsid w:val="003C3FE0"/>
    <w:rsid w:val="00590341"/>
    <w:rsid w:val="00690E01"/>
    <w:rsid w:val="00712ECB"/>
    <w:rsid w:val="00721A13"/>
    <w:rsid w:val="007223F5"/>
    <w:rsid w:val="0092476E"/>
    <w:rsid w:val="00B845C2"/>
    <w:rsid w:val="00BC6CE5"/>
    <w:rsid w:val="00D96785"/>
    <w:rsid w:val="00E87F56"/>
    <w:rsid w:val="00EC10BC"/>
    <w:rsid w:val="00F77115"/>
    <w:rsid w:val="00FF1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9EC7A-4CCD-4345-A462-1035A0895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ECB"/>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2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ECB"/>
    <w:rPr>
      <w:rFonts w:ascii="Calibri" w:eastAsia="Calibri" w:hAnsi="Calibri" w:cs="SimSun"/>
    </w:rPr>
  </w:style>
  <w:style w:type="paragraph" w:styleId="Footer">
    <w:name w:val="footer"/>
    <w:basedOn w:val="Normal"/>
    <w:link w:val="FooterChar"/>
    <w:uiPriority w:val="99"/>
    <w:unhideWhenUsed/>
    <w:rsid w:val="00712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ECB"/>
    <w:rPr>
      <w:rFonts w:ascii="Calibri" w:eastAsia="Calibri" w:hAnsi="Calibri" w:cs="SimSun"/>
    </w:rPr>
  </w:style>
  <w:style w:type="paragraph" w:styleId="ListParagraph">
    <w:name w:val="List Paragraph"/>
    <w:basedOn w:val="Normal"/>
    <w:uiPriority w:val="34"/>
    <w:qFormat/>
    <w:rsid w:val="00E87F56"/>
    <w:pPr>
      <w:ind w:left="720"/>
      <w:contextualSpacing/>
    </w:pPr>
    <w:rPr>
      <w:rFonts w:asciiTheme="minorHAnsi" w:eastAsiaTheme="minorHAnsi" w:hAnsiTheme="minorHAnsi" w:cstheme="minorBidi"/>
    </w:rPr>
  </w:style>
  <w:style w:type="paragraph" w:styleId="Bibliography">
    <w:name w:val="Bibliography"/>
    <w:basedOn w:val="Normal"/>
    <w:next w:val="Normal"/>
    <w:uiPriority w:val="37"/>
    <w:unhideWhenUsed/>
    <w:rsid w:val="00924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688281">
      <w:bodyDiv w:val="1"/>
      <w:marLeft w:val="0"/>
      <w:marRight w:val="0"/>
      <w:marTop w:val="0"/>
      <w:marBottom w:val="0"/>
      <w:divBdr>
        <w:top w:val="none" w:sz="0" w:space="0" w:color="auto"/>
        <w:left w:val="none" w:sz="0" w:space="0" w:color="auto"/>
        <w:bottom w:val="none" w:sz="0" w:space="0" w:color="auto"/>
        <w:right w:val="none" w:sz="0" w:space="0" w:color="auto"/>
      </w:divBdr>
    </w:div>
    <w:div w:id="155492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Kay16</b:Tag>
    <b:SourceType>JournalArticle</b:SourceType>
    <b:Guid>{2EEEB7B1-FBDB-4CE7-85C7-BBB8CD355186}</b:Guid>
    <b:Title>Evaluating Mutually Exclusive Projects with Capital Budgeting Techniques</b:Title>
    <b:Year>2016</b:Year>
    <b:Author>
      <b:Author>
        <b:NameList>
          <b:Person>
            <b:Last>Kaya</b:Last>
            <b:First>Halil</b:First>
            <b:Middle>D.</b:Middle>
          </b:Person>
        </b:NameList>
      </b:Author>
    </b:Author>
    <b:JournalName>International Research Journal of Applied Finance</b:JournalName>
    <b:RefOrder>1</b:RefOrder>
  </b:Source>
</b:Sources>
</file>

<file path=customXml/itemProps1.xml><?xml version="1.0" encoding="utf-8"?>
<ds:datastoreItem xmlns:ds="http://schemas.openxmlformats.org/officeDocument/2006/customXml" ds:itemID="{778F9147-FFBC-4ACE-BDB5-122F4D298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18</cp:revision>
  <dcterms:created xsi:type="dcterms:W3CDTF">2018-09-18T00:41:00Z</dcterms:created>
  <dcterms:modified xsi:type="dcterms:W3CDTF">2018-09-18T00:55:00Z</dcterms:modified>
</cp:coreProperties>
</file>